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FC0769" w:rsidP="00FC076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153CD">
        <w:rPr>
          <w:sz w:val="26"/>
          <w:szCs w:val="26"/>
        </w:rPr>
        <w:t xml:space="preserve">11 </w:t>
      </w:r>
      <w:r w:rsidR="00EF3787" w:rsidRPr="00C81B4F">
        <w:rPr>
          <w:sz w:val="26"/>
          <w:szCs w:val="26"/>
        </w:rPr>
        <w:t xml:space="preserve">октября </w:t>
      </w:r>
      <w:r w:rsidR="009D664A" w:rsidRPr="00C81B4F">
        <w:rPr>
          <w:sz w:val="26"/>
          <w:szCs w:val="26"/>
        </w:rPr>
        <w:t xml:space="preserve">2022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5153CD">
        <w:rPr>
          <w:sz w:val="26"/>
          <w:szCs w:val="26"/>
        </w:rPr>
        <w:t>№ 491</w:t>
      </w:r>
      <w:r w:rsidR="009D664A" w:rsidRPr="00C81B4F">
        <w:rPr>
          <w:sz w:val="26"/>
          <w:szCs w:val="26"/>
        </w:rPr>
        <w:t xml:space="preserve"> 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3378CC" w:rsidRDefault="009D664A" w:rsidP="009D664A">
      <w:pPr>
        <w:jc w:val="center"/>
        <w:outlineLvl w:val="0"/>
        <w:rPr>
          <w:b/>
          <w:sz w:val="26"/>
          <w:szCs w:val="26"/>
        </w:rPr>
      </w:pPr>
      <w:r w:rsidRPr="003378CC">
        <w:rPr>
          <w:b/>
          <w:sz w:val="26"/>
          <w:szCs w:val="26"/>
        </w:rPr>
        <w:t>Об утверждении муниципальной программы</w:t>
      </w:r>
    </w:p>
    <w:p w:rsidR="009D664A" w:rsidRDefault="009D664A" w:rsidP="009D664A">
      <w:pPr>
        <w:jc w:val="center"/>
        <w:rPr>
          <w:b/>
          <w:sz w:val="26"/>
          <w:szCs w:val="26"/>
        </w:rPr>
      </w:pPr>
      <w:r w:rsidRPr="003378C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Обеспечение общественного порядка и противодействие преступности </w:t>
      </w:r>
    </w:p>
    <w:p w:rsidR="009D664A" w:rsidRPr="00D3097D" w:rsidRDefault="009D664A" w:rsidP="009D664A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в</w:t>
      </w:r>
      <w:r w:rsidRPr="003378CC">
        <w:rPr>
          <w:b/>
          <w:bCs/>
          <w:sz w:val="26"/>
          <w:szCs w:val="26"/>
        </w:rPr>
        <w:t xml:space="preserve"> </w:t>
      </w:r>
      <w:r w:rsidRPr="003378CC">
        <w:rPr>
          <w:b/>
          <w:sz w:val="26"/>
          <w:szCs w:val="26"/>
        </w:rPr>
        <w:t>Орджоникидзевск</w:t>
      </w:r>
      <w:r>
        <w:rPr>
          <w:b/>
          <w:sz w:val="26"/>
          <w:szCs w:val="26"/>
        </w:rPr>
        <w:t>ом</w:t>
      </w:r>
      <w:r w:rsidRPr="003378CC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е</w:t>
      </w:r>
      <w:r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8F26F8" w:rsidRDefault="009D664A" w:rsidP="009D664A">
      <w:pPr>
        <w:rPr>
          <w:i/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b/>
          <w:sz w:val="26"/>
          <w:szCs w:val="26"/>
        </w:rPr>
      </w:pPr>
      <w:r w:rsidRPr="003378CC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>
        <w:rPr>
          <w:sz w:val="26"/>
          <w:szCs w:val="26"/>
        </w:rPr>
        <w:t>Федеральным</w:t>
      </w:r>
      <w:r w:rsidRPr="003378C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378CC">
        <w:rPr>
          <w:sz w:val="26"/>
          <w:szCs w:val="26"/>
        </w:rPr>
        <w:t xml:space="preserve"> от 06.10.2003 </w:t>
      </w:r>
      <w:hyperlink r:id="rId8" w:history="1">
        <w:r w:rsidRPr="003378CC">
          <w:rPr>
            <w:sz w:val="26"/>
            <w:szCs w:val="26"/>
          </w:rPr>
          <w:t>№ 131-ФЗ</w:t>
        </w:r>
      </w:hyperlink>
      <w:r w:rsidRPr="003378C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Администрации Орджоникидзевского района от </w:t>
      </w:r>
      <w:r>
        <w:rPr>
          <w:sz w:val="26"/>
          <w:szCs w:val="26"/>
        </w:rPr>
        <w:t>25.08.2020</w:t>
      </w:r>
      <w:r w:rsidRPr="003378CC">
        <w:rPr>
          <w:sz w:val="26"/>
          <w:szCs w:val="26"/>
        </w:rPr>
        <w:t xml:space="preserve"> № </w:t>
      </w:r>
      <w:r>
        <w:rPr>
          <w:sz w:val="26"/>
          <w:szCs w:val="26"/>
        </w:rPr>
        <w:t>318</w:t>
      </w:r>
      <w:r w:rsidRPr="003378CC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статьями 49, 70 Устава муниципального образования Орджоникидзевский район, Администрация Орджоникидзевского района</w:t>
      </w:r>
      <w:r w:rsidRPr="003378CC">
        <w:rPr>
          <w:b/>
          <w:sz w:val="26"/>
          <w:szCs w:val="26"/>
        </w:rPr>
        <w:t xml:space="preserve"> </w:t>
      </w:r>
    </w:p>
    <w:p w:rsidR="009D664A" w:rsidRPr="003378CC" w:rsidRDefault="009D664A" w:rsidP="009D664A">
      <w:pPr>
        <w:tabs>
          <w:tab w:val="left" w:pos="735"/>
        </w:tabs>
        <w:rPr>
          <w:sz w:val="26"/>
          <w:szCs w:val="26"/>
        </w:rPr>
      </w:pPr>
      <w:r w:rsidRPr="003378CC">
        <w:rPr>
          <w:b/>
          <w:sz w:val="26"/>
          <w:szCs w:val="26"/>
        </w:rPr>
        <w:t>п о с т а н о в л я е т:</w:t>
      </w:r>
      <w:r w:rsidRPr="003378CC">
        <w:rPr>
          <w:sz w:val="26"/>
          <w:szCs w:val="26"/>
        </w:rPr>
        <w:t xml:space="preserve"> 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  <w:r w:rsidRPr="003378CC">
        <w:rPr>
          <w:sz w:val="26"/>
          <w:szCs w:val="26"/>
        </w:rPr>
        <w:tab/>
        <w:t>1. Утвердить муниципальную программу «</w:t>
      </w:r>
      <w:r>
        <w:rPr>
          <w:sz w:val="26"/>
          <w:szCs w:val="26"/>
        </w:rPr>
        <w:t xml:space="preserve">Обеспечение общественного порядка и противодействие преступности </w:t>
      </w:r>
      <w:r w:rsidRPr="003378CC">
        <w:rPr>
          <w:sz w:val="26"/>
          <w:szCs w:val="26"/>
        </w:rPr>
        <w:t>в Орджоникидзевск</w:t>
      </w:r>
      <w:r>
        <w:rPr>
          <w:sz w:val="26"/>
          <w:szCs w:val="26"/>
        </w:rPr>
        <w:t>ом</w:t>
      </w:r>
      <w:r w:rsidRPr="003378C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3378CC">
        <w:rPr>
          <w:sz w:val="26"/>
          <w:szCs w:val="26"/>
        </w:rPr>
        <w:t>» (приложение).</w:t>
      </w:r>
    </w:p>
    <w:p w:rsidR="009D664A" w:rsidRPr="003378CC" w:rsidRDefault="009D664A" w:rsidP="009D664A">
      <w:pPr>
        <w:ind w:firstLine="709"/>
        <w:rPr>
          <w:sz w:val="26"/>
          <w:szCs w:val="26"/>
        </w:rPr>
      </w:pPr>
      <w:r w:rsidRPr="003378CC">
        <w:rPr>
          <w:sz w:val="26"/>
          <w:szCs w:val="26"/>
        </w:rPr>
        <w:t xml:space="preserve">2. </w:t>
      </w:r>
      <w:r>
        <w:rPr>
          <w:sz w:val="26"/>
          <w:szCs w:val="26"/>
        </w:rPr>
        <w:t>Управлению ф</w:t>
      </w:r>
      <w:r w:rsidRPr="003378CC">
        <w:rPr>
          <w:sz w:val="26"/>
          <w:szCs w:val="26"/>
        </w:rPr>
        <w:t>инансов</w:t>
      </w:r>
      <w:r>
        <w:rPr>
          <w:sz w:val="26"/>
          <w:szCs w:val="26"/>
        </w:rPr>
        <w:t xml:space="preserve"> и экономики</w:t>
      </w:r>
      <w:r w:rsidRPr="003378CC">
        <w:rPr>
          <w:sz w:val="26"/>
          <w:szCs w:val="26"/>
        </w:rPr>
        <w:t xml:space="preserve"> Администрации Орджоникидзевского района предусмотреть в районном бюджете муниципального образования Орджоникидзевский район средства на реализацию муниципальной программы «</w:t>
      </w:r>
      <w:r w:rsidRPr="00D3097D">
        <w:rPr>
          <w:sz w:val="26"/>
          <w:szCs w:val="26"/>
        </w:rPr>
        <w:t>Обеспечение общественного порядка и противодействие преступности в Орджоникидзевском районе</w:t>
      </w:r>
      <w:r>
        <w:rPr>
          <w:sz w:val="26"/>
          <w:szCs w:val="26"/>
        </w:rPr>
        <w:t>».</w:t>
      </w:r>
    </w:p>
    <w:p w:rsidR="009D664A" w:rsidRPr="003378CC" w:rsidRDefault="009D664A" w:rsidP="009D664A">
      <w:pPr>
        <w:ind w:firstLine="709"/>
        <w:rPr>
          <w:bCs/>
          <w:sz w:val="26"/>
          <w:szCs w:val="26"/>
        </w:rPr>
      </w:pPr>
      <w:r w:rsidRPr="003378CC">
        <w:rPr>
          <w:sz w:val="26"/>
          <w:szCs w:val="26"/>
        </w:rPr>
        <w:t>3. Установить, что в ходе реализации муниципальной программы «</w:t>
      </w:r>
      <w:r w:rsidRPr="00D3097D">
        <w:rPr>
          <w:sz w:val="26"/>
          <w:szCs w:val="26"/>
        </w:rPr>
        <w:t>Обеспечение общественного порядка и противодействие преступности в Орджоникидзевском районе</w:t>
      </w:r>
      <w:r w:rsidRPr="003378CC">
        <w:rPr>
          <w:sz w:val="26"/>
          <w:szCs w:val="26"/>
        </w:rPr>
        <w:t>» отдельные мероприятия могут уточняться, а объемы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</w:t>
      </w:r>
      <w:r w:rsidRPr="003378CC">
        <w:rPr>
          <w:bCs/>
          <w:sz w:val="26"/>
          <w:szCs w:val="26"/>
        </w:rPr>
        <w:t xml:space="preserve">. </w:t>
      </w:r>
    </w:p>
    <w:p w:rsidR="009D664A" w:rsidRPr="003378CC" w:rsidRDefault="009D664A" w:rsidP="009D664A">
      <w:pPr>
        <w:outlineLvl w:val="0"/>
        <w:rPr>
          <w:sz w:val="26"/>
          <w:szCs w:val="26"/>
        </w:rPr>
      </w:pPr>
      <w:r w:rsidRPr="003378CC">
        <w:rPr>
          <w:sz w:val="26"/>
          <w:szCs w:val="26"/>
        </w:rPr>
        <w:tab/>
        <w:t xml:space="preserve">4. Постановление вступает в силу после официального обнародования на </w:t>
      </w:r>
      <w:r>
        <w:rPr>
          <w:sz w:val="26"/>
          <w:szCs w:val="26"/>
        </w:rPr>
        <w:t>информационном стенде</w:t>
      </w:r>
      <w:r w:rsidRPr="003378CC">
        <w:rPr>
          <w:sz w:val="26"/>
          <w:szCs w:val="26"/>
        </w:rPr>
        <w:t xml:space="preserve"> Администрации Орджоникидзевского района</w:t>
      </w:r>
      <w:r>
        <w:rPr>
          <w:sz w:val="26"/>
          <w:szCs w:val="26"/>
        </w:rPr>
        <w:t xml:space="preserve"> </w:t>
      </w:r>
      <w:r w:rsidRPr="003378CC">
        <w:rPr>
          <w:sz w:val="26"/>
          <w:szCs w:val="26"/>
        </w:rPr>
        <w:t>и подлежит опубликованию в районной газете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5153C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153CD">
              <w:rPr>
                <w:sz w:val="26"/>
                <w:szCs w:val="26"/>
              </w:rPr>
              <w:t>11</w:t>
            </w:r>
            <w:r w:rsidR="00320931">
              <w:rPr>
                <w:sz w:val="26"/>
                <w:szCs w:val="26"/>
              </w:rPr>
              <w:t xml:space="preserve"> октября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22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153CD">
              <w:rPr>
                <w:sz w:val="26"/>
                <w:szCs w:val="26"/>
              </w:rPr>
              <w:t xml:space="preserve"> 491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п/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>Профилактика и противодействие 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5.3. Подпрограмма 3 «Профилактика и противодействие 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9. Система управления и контроля за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8</w:t>
            </w:r>
            <w:r w:rsidRPr="00C73BA9">
              <w:rPr>
                <w:bCs/>
              </w:rPr>
              <w:t>-</w:t>
            </w:r>
            <w:r w:rsidR="00C73BA9" w:rsidRPr="00C73BA9">
              <w:rPr>
                <w:bCs/>
              </w:rPr>
              <w:t>29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7F003D" w:rsidRPr="00C73BA9" w:rsidRDefault="007F003D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Pr="00302A33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и противодействие 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 xml:space="preserve"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lastRenderedPageBreak/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Этапы и сроки 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 xml:space="preserve"> 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составля</w:t>
            </w:r>
            <w:r>
              <w:rPr>
                <w:color w:val="000000"/>
                <w:sz w:val="26"/>
                <w:szCs w:val="26"/>
              </w:rPr>
              <w:t xml:space="preserve">ет </w:t>
            </w:r>
            <w:r w:rsidR="007851E9">
              <w:rPr>
                <w:color w:val="000000"/>
                <w:sz w:val="26"/>
                <w:szCs w:val="26"/>
              </w:rPr>
              <w:t>315</w:t>
            </w:r>
            <w:r w:rsidRPr="009743F4">
              <w:rPr>
                <w:sz w:val="26"/>
                <w:szCs w:val="26"/>
              </w:rPr>
              <w:t xml:space="preserve"> тыс</w:t>
            </w:r>
            <w:r w:rsidRPr="002A5ABD">
              <w:rPr>
                <w:color w:val="000000"/>
                <w:sz w:val="26"/>
                <w:szCs w:val="26"/>
              </w:rPr>
              <w:t>. руб., из них:</w:t>
            </w:r>
          </w:p>
          <w:p w:rsidR="003D58F2" w:rsidRPr="002A5ABD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3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7851E9">
              <w:rPr>
                <w:color w:val="000000"/>
                <w:sz w:val="26"/>
                <w:szCs w:val="26"/>
              </w:rPr>
              <w:t>10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Pr="002A5ABD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4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7851E9">
              <w:rPr>
                <w:color w:val="000000"/>
                <w:sz w:val="26"/>
                <w:szCs w:val="26"/>
              </w:rPr>
              <w:t>105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851E9">
              <w:rPr>
                <w:color w:val="000000"/>
                <w:sz w:val="26"/>
                <w:szCs w:val="26"/>
              </w:rPr>
              <w:t>10</w:t>
            </w:r>
            <w:r w:rsidR="00CD3078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году - 23  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AC3897">
              <w:rPr>
                <w:sz w:val="26"/>
                <w:szCs w:val="26"/>
              </w:rPr>
              <w:t>– 18  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Pr="00320931">
              <w:rPr>
                <w:sz w:val="26"/>
                <w:szCs w:val="26"/>
              </w:rPr>
              <w:t xml:space="preserve">Снижение фактов  потребления психоактивных веществ гражданами,  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Pr="00800DB0">
              <w:rPr>
                <w:sz w:val="26"/>
                <w:szCs w:val="26"/>
              </w:rPr>
              <w:t xml:space="preserve">  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Администрации Орджоникидзевского района  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Отдел по Ширинскому и Орджоникидзевскому районам ГКУ 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- Филиал по Орджоникидзевскому району УФСИН РХ по РХ 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уровня  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98740F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>
              <w:rPr>
                <w:sz w:val="26"/>
                <w:szCs w:val="26"/>
              </w:rPr>
              <w:t>составляет  </w:t>
            </w:r>
            <w:r w:rsidR="0098740F" w:rsidRPr="0098740F">
              <w:rPr>
                <w:sz w:val="26"/>
                <w:szCs w:val="26"/>
              </w:rPr>
              <w:t xml:space="preserve">105 </w:t>
            </w:r>
            <w:r w:rsidRPr="0098740F">
              <w:rPr>
                <w:sz w:val="26"/>
                <w:szCs w:val="26"/>
              </w:rPr>
              <w:t>тыс. руб., из них: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98740F">
              <w:rPr>
                <w:color w:val="000000"/>
                <w:sz w:val="26"/>
                <w:szCs w:val="26"/>
              </w:rPr>
              <w:t>35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98740F">
              <w:rPr>
                <w:color w:val="000000"/>
                <w:sz w:val="26"/>
                <w:szCs w:val="26"/>
              </w:rPr>
              <w:t>35</w:t>
            </w:r>
            <w:r w:rsidRPr="006748DE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257DB9" w:rsidRDefault="00257DB9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98740F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5</w:t>
            </w:r>
            <w:r w:rsidR="003C0BD8">
              <w:rPr>
                <w:color w:val="000000"/>
                <w:sz w:val="26"/>
                <w:szCs w:val="26"/>
              </w:rPr>
              <w:t xml:space="preserve"> тыс. руб;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>0,0 тыс.руб.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Pr="008E34C1">
              <w:rPr>
                <w:sz w:val="26"/>
                <w:szCs w:val="26"/>
              </w:rPr>
              <w:t xml:space="preserve">  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257DB9" w:rsidRPr="008E34C1">
              <w:rPr>
                <w:sz w:val="26"/>
                <w:szCs w:val="26"/>
              </w:rPr>
              <w:t xml:space="preserve"> – 18  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сельпоссоветов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r>
              <w:rPr>
                <w:color w:val="000000"/>
                <w:sz w:val="26"/>
                <w:szCs w:val="26"/>
              </w:rPr>
              <w:t>Сельпоссоветы)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нижение фактов потребления психоактивных веществ граждан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lastRenderedPageBreak/>
              <w:t>- Снижения фактов потребления психоактивных веществ граждан,</w:t>
            </w:r>
            <w:r>
              <w:rPr>
                <w:color w:val="000000"/>
                <w:sz w:val="26"/>
                <w:szCs w:val="26"/>
              </w:rPr>
              <w:t xml:space="preserve"> проживающих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                             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>
              <w:rPr>
                <w:color w:val="000000"/>
                <w:sz w:val="26"/>
                <w:szCs w:val="26"/>
              </w:rPr>
              <w:t xml:space="preserve">он, объем средств составляет  </w:t>
            </w:r>
            <w:r w:rsidR="0098740F">
              <w:rPr>
                <w:color w:val="000000"/>
                <w:sz w:val="26"/>
                <w:szCs w:val="26"/>
              </w:rPr>
              <w:t xml:space="preserve">165 </w:t>
            </w:r>
            <w:r w:rsidRPr="006748DE">
              <w:rPr>
                <w:color w:val="000000"/>
                <w:sz w:val="26"/>
                <w:szCs w:val="26"/>
              </w:rPr>
              <w:t>тыс. руб.:</w:t>
            </w:r>
          </w:p>
          <w:p w:rsidR="003C0BD8" w:rsidRPr="002A5ABD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9874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C0BD8" w:rsidRPr="002A5ABD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9874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98740F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Pr="00320931">
              <w:rPr>
                <w:sz w:val="26"/>
                <w:szCs w:val="26"/>
              </w:rPr>
              <w:t>Снижение фактов  потребления психоактивных веществ гражданами, 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и противодействие 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-Управление  образования Администрации Орджоникидзевского района (далее-УО)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  Управление культуры, молодежи и спорта Администрации 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r>
              <w:rPr>
                <w:color w:val="000000"/>
                <w:sz w:val="26"/>
                <w:szCs w:val="26"/>
              </w:rPr>
              <w:t xml:space="preserve">сельпоссоветов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r>
              <w:rPr>
                <w:color w:val="000000"/>
                <w:sz w:val="26"/>
                <w:szCs w:val="26"/>
              </w:rPr>
              <w:t>Сельпоссоветы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 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>едопущение развития 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 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Общий объем финансирования подпрограммы «Профилактика и противодействие политическому, национальному и религиозному экстремизму на территори</w:t>
            </w:r>
            <w:r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Pr="00F640CC">
              <w:rPr>
                <w:sz w:val="26"/>
                <w:szCs w:val="26"/>
              </w:rPr>
              <w:t xml:space="preserve">составляет </w:t>
            </w:r>
            <w:r w:rsidR="00F640CC" w:rsidRPr="00F640CC">
              <w:rPr>
                <w:sz w:val="26"/>
                <w:szCs w:val="26"/>
              </w:rPr>
              <w:t>45</w:t>
            </w:r>
            <w:r w:rsidRPr="00F640CC">
              <w:rPr>
                <w:sz w:val="26"/>
                <w:szCs w:val="26"/>
              </w:rPr>
              <w:t xml:space="preserve"> тыс. рублей из районного  бюджета муниципального образования</w:t>
            </w:r>
            <w:r w:rsidRPr="006748DE">
              <w:rPr>
                <w:color w:val="000000"/>
                <w:sz w:val="26"/>
                <w:szCs w:val="26"/>
              </w:rPr>
              <w:t xml:space="preserve"> Орджоникидзевский район, в том числе:</w:t>
            </w:r>
          </w:p>
          <w:p w:rsidR="005502CD" w:rsidRPr="002A5AB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F640C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5502CD" w:rsidRPr="002A5AB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2A5ABD">
              <w:rPr>
                <w:color w:val="000000"/>
                <w:sz w:val="26"/>
                <w:szCs w:val="26"/>
              </w:rPr>
              <w:t xml:space="preserve"> год –  </w:t>
            </w:r>
            <w:r w:rsidR="00F640C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F640CC">
              <w:rPr>
                <w:color w:val="000000"/>
                <w:sz w:val="26"/>
                <w:szCs w:val="26"/>
              </w:rPr>
              <w:t xml:space="preserve"> 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F640CC">
              <w:rPr>
                <w:color w:val="000000"/>
                <w:sz w:val="26"/>
                <w:szCs w:val="26"/>
              </w:rPr>
              <w:t>0,0 тыс. руб.;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F640CC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F640CC">
              <w:rPr>
                <w:color w:val="000000"/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жидаемые результаты </w:t>
            </w:r>
            <w:r>
              <w:rPr>
                <w:color w:val="000000"/>
                <w:sz w:val="26"/>
                <w:szCs w:val="26"/>
              </w:rPr>
              <w:lastRenderedPageBreak/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экстремизма, формирования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 xml:space="preserve">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Pr="00800DB0">
              <w:rPr>
                <w:sz w:val="26"/>
                <w:szCs w:val="26"/>
              </w:rPr>
              <w:t xml:space="preserve">  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надлежащей защиты личности, общества  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 xml:space="preserve">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 xml:space="preserve">рограммы Орджоникидзевского района, позволит направить финансовые ресурсы на создание необходимых условий, </w:t>
      </w:r>
      <w:r w:rsidRPr="006748DE">
        <w:rPr>
          <w:color w:val="000000"/>
          <w:sz w:val="26"/>
          <w:szCs w:val="26"/>
        </w:rPr>
        <w:lastRenderedPageBreak/>
        <w:t>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>и общественного</w:t>
      </w:r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>Профилактика и противодействие 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Необходимость принятия данной Подпрограммы и последующей реализации вызвана тем, что современная криминогенная ситуация в сфере борьбы с экстремизмом в Российской Федерации остается напряженной. В этой связи необходимо принять меры  по защите населения от экстремистской угрозы, своевременное предупреждение, выявление и пресечение 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 экстремизму в целом, сделать более эффективной деятельность органов и иных субъектов, участвующих в противодействии экстремизму, привлечь дополнительные финансовые ресурсы, выработать современную упреждающую систему противодействия 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 xml:space="preserve"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  </w:t>
      </w:r>
      <w:r w:rsidRPr="009450F4">
        <w:rPr>
          <w:sz w:val="26"/>
          <w:szCs w:val="26"/>
        </w:rPr>
        <w:lastRenderedPageBreak/>
        <w:t>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3. В сфере  профилактики и противодействию 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недопущение развития 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>комплекс мероприятий, направленных на: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употреблению наркотиков и алкоголя  у насел</w:t>
      </w:r>
      <w:r>
        <w:rPr>
          <w:color w:val="000000"/>
          <w:sz w:val="26"/>
          <w:szCs w:val="26"/>
        </w:rPr>
        <w:t>ения  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и противодействие 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>недопущению развития 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>нижение фактов потребления психоактивных веществ граждан, проживающих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>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7 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контроля за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контроль за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1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r w:rsidRPr="00AB4114">
        <w:rPr>
          <w:sz w:val="26"/>
          <w:szCs w:val="26"/>
        </w:rPr>
        <w:t>Ответственный исполните</w:t>
      </w:r>
      <w:bookmarkEnd w:id="1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3"/>
      <w:bookmarkEnd w:id="2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4"/>
      <w:bookmarkEnd w:id="3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5" w:name="sub_1795"/>
      <w:bookmarkEnd w:id="4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5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за отчетным. </w:t>
      </w:r>
      <w:bookmarkStart w:id="6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Администрации Орджоникидзевского района  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7" w:name="sub_1762"/>
      <w:bookmarkEnd w:id="6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83"/>
      <w:bookmarkEnd w:id="7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9" w:name="sub_1763"/>
      <w:bookmarkEnd w:id="8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10" w:name="sub_1764"/>
      <w:bookmarkEnd w:id="9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10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1" w:name="sub_1767"/>
      <w:r w:rsidRPr="00AB4114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2" w:name="sub_1770"/>
      <w:bookmarkEnd w:id="11"/>
      <w:r w:rsidRPr="00AB4114">
        <w:rPr>
          <w:sz w:val="26"/>
          <w:szCs w:val="26"/>
        </w:rPr>
        <w:lastRenderedPageBreak/>
        <w:t>д) анализ факторов, повлиявших на ход реализации муниципальной программы</w:t>
      </w:r>
      <w:bookmarkEnd w:id="12"/>
      <w:r w:rsidRPr="00AB4114">
        <w:rPr>
          <w:sz w:val="26"/>
          <w:szCs w:val="26"/>
        </w:rPr>
        <w:t>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       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Будникова</w:t>
      </w:r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lastRenderedPageBreak/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«Обеспечение общественного порядка и    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>Задача 1.  С</w:t>
            </w:r>
            <w:r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 xml:space="preserve">Организация и проведение мероприятий и оперативно-профилактических операций, </w:t>
            </w:r>
            <w:r w:rsidRPr="007F11C3">
              <w:rPr>
                <w:sz w:val="18"/>
                <w:szCs w:val="18"/>
              </w:rPr>
              <w:lastRenderedPageBreak/>
              <w:t>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r w:rsidRPr="007F11C3">
              <w:rPr>
                <w:sz w:val="18"/>
                <w:szCs w:val="18"/>
              </w:rPr>
              <w:t>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lastRenderedPageBreak/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ОтдМВД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ОтдМВД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Филиал по Орджоникидзевскому району УФСИН РФ по РХ,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МО Орджоникидзевский район,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lastRenderedPageBreak/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Отд.МВД по Орджоникидзевскому району, Сельпоссоветы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«Копьевская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Проведение конкурса </w:t>
            </w:r>
            <w:r>
              <w:rPr>
                <w:sz w:val="18"/>
                <w:szCs w:val="18"/>
              </w:rPr>
              <w:lastRenderedPageBreak/>
              <w:t>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ГБУЗ РХ </w:t>
            </w:r>
            <w:r w:rsidRPr="0071435A">
              <w:rPr>
                <w:sz w:val="18"/>
                <w:szCs w:val="18"/>
              </w:rPr>
              <w:t>«Копьевская</w:t>
            </w:r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«Копьевская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</w:t>
            </w:r>
            <w:r w:rsidRPr="00576A60">
              <w:rPr>
                <w:sz w:val="18"/>
                <w:szCs w:val="18"/>
              </w:rPr>
              <w:t>Обеспечение непрерывного мониторинга: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-обстановки в сфере межнациональных и межконфессиональных отношений;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экстремизма;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 w:rsidRPr="00576A60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76A60">
              <w:rPr>
                <w:sz w:val="18"/>
                <w:szCs w:val="18"/>
              </w:rPr>
              <w:t>Организация и проведение в образовательных учреждениях района работы по профилактике экстремизма, воспитание терпимости и толерантного отношения к окружающим</w:t>
            </w:r>
          </w:p>
          <w:p w:rsidR="006826DF" w:rsidRPr="00576A60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576A60">
              <w:rPr>
                <w:sz w:val="18"/>
                <w:szCs w:val="18"/>
              </w:rPr>
              <w:t>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576A60">
              <w:rPr>
                <w:sz w:val="18"/>
                <w:szCs w:val="18"/>
              </w:rPr>
              <w:t xml:space="preserve">Организация и проведение районного конкурса                    </w:t>
            </w:r>
            <w:r>
              <w:rPr>
                <w:sz w:val="18"/>
                <w:szCs w:val="18"/>
              </w:rPr>
              <w:t>плакатов профилактики и противодействия политическому, национальному и религиозному экстремизму на территории Орджоникидзевского района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1E405B">
              <w:rPr>
                <w:sz w:val="18"/>
                <w:szCs w:val="18"/>
              </w:rPr>
              <w:t xml:space="preserve">Осуществление еженедельного обхода территории муниципальных образований </w:t>
            </w:r>
            <w:r w:rsidRPr="001E405B">
              <w:rPr>
                <w:sz w:val="18"/>
                <w:szCs w:val="18"/>
              </w:rPr>
              <w:lastRenderedPageBreak/>
              <w:t>поселений района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1E405B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6826DF"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A75FF9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МВКПП 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A75FF9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1E405B">
              <w:rPr>
                <w:sz w:val="18"/>
                <w:szCs w:val="18"/>
              </w:rPr>
              <w:lastRenderedPageBreak/>
              <w:t xml:space="preserve"> (по согласованию)</w:t>
            </w:r>
          </w:p>
          <w:p w:rsidR="006826DF" w:rsidRPr="00A75FF9" w:rsidRDefault="006826DF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5D718E" w:rsidRDefault="005D718E" w:rsidP="00B562E6"/>
    <w:p w:rsidR="00B562E6" w:rsidRPr="00C65FCB" w:rsidRDefault="00B562E6" w:rsidP="00B562E6">
      <w:pPr>
        <w:ind w:left="9204"/>
      </w:pPr>
      <w:r>
        <w:lastRenderedPageBreak/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«Обеспечение общественного порядка и    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финансовый год и плановый период 2023-2028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Федераль-ный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Республи-канский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Внебюд-жетные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921F0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>МВКПП Орджоникидзевского района, Сельпоссоветы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ОтдМВД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D45781">
              <w:rPr>
                <w:sz w:val="18"/>
                <w:szCs w:val="18"/>
              </w:rPr>
              <w:lastRenderedPageBreak/>
              <w:t>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105,0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35</w:t>
            </w:r>
            <w:r w:rsidRPr="00525DC9">
              <w:rPr>
                <w:sz w:val="18"/>
                <w:szCs w:val="18"/>
                <w:lang w:val="en-US"/>
              </w:rPr>
              <w:t>,</w:t>
            </w:r>
            <w:r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35</w:t>
            </w:r>
            <w:r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3E1D5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Pr="00EE3323">
              <w:t xml:space="preserve"> </w:t>
            </w:r>
            <w:r w:rsidRPr="00EE3323">
              <w:rPr>
                <w:sz w:val="20"/>
                <w:szCs w:val="20"/>
              </w:rPr>
              <w:t>Снижение уровня  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 xml:space="preserve">Задача 2. Вовлечение в предупреждение правонарушений предприятий, учреждений, организаций всех форм собственности, а также общественных </w:t>
            </w:r>
            <w:r w:rsidRPr="00EE3323">
              <w:rPr>
                <w:sz w:val="20"/>
                <w:szCs w:val="20"/>
              </w:rPr>
              <w:lastRenderedPageBreak/>
              <w:t>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EE3323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EE33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Снижение фактов  потребления психоактивных веществ гражданами,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5C0B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>Подпрограмма 3 «Профилактика и противодействие политическому, национальному и  религиозному экстремизму на территории Орджоникидзевского 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МВКПП  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 xml:space="preserve">район «Редакция </w:t>
            </w:r>
            <w:r w:rsidRPr="004816DB">
              <w:rPr>
                <w:sz w:val="18"/>
                <w:szCs w:val="18"/>
              </w:rPr>
              <w:lastRenderedPageBreak/>
              <w:t>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Сельпоссоветы, Отд.МВД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экстремизма, формирования межконфессионального согласия, толерантного </w:t>
            </w:r>
            <w:r w:rsidRPr="005D718E">
              <w:rPr>
                <w:sz w:val="18"/>
                <w:szCs w:val="18"/>
              </w:rPr>
              <w:lastRenderedPageBreak/>
              <w:t xml:space="preserve">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lastRenderedPageBreak/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5C0B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Задача 1. Недопущение развития 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lastRenderedPageBreak/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Pr="00C65FCB">
        <w:t xml:space="preserve">к Программе  </w:t>
      </w:r>
      <w:r w:rsidR="00C65FCB" w:rsidRPr="00C65FCB">
        <w:t>«Обеспечение общественного порядка и    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 -)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4</w:t>
      </w:r>
      <w:r w:rsidRPr="00C65FCB">
        <w:t xml:space="preserve"> к Программе  «Обеспечение общественного порядка и   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 xml:space="preserve">Обеспечение общественного порядка и    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1.2.1. Субсидии местным бюджетам на софинансирова-ние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5</w:t>
      </w:r>
      <w:r w:rsidRPr="00C65FCB">
        <w:t xml:space="preserve"> к Программе  «Обеспечение общественного порядка и    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2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E0" w:rsidRDefault="00193DE0" w:rsidP="00AD0E4E">
      <w:r>
        <w:separator/>
      </w:r>
    </w:p>
  </w:endnote>
  <w:endnote w:type="continuationSeparator" w:id="0">
    <w:p w:rsidR="00193DE0" w:rsidRDefault="00193DE0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33" w:rsidRDefault="00302A33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2A33" w:rsidRDefault="00302A33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33" w:rsidRDefault="00302A33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0769">
      <w:rPr>
        <w:rStyle w:val="aa"/>
        <w:noProof/>
      </w:rPr>
      <w:t>17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302A33" w:rsidRDefault="00302A33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302A33" w:rsidRDefault="00302A33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33" w:rsidRDefault="00302A33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302A33" w:rsidRDefault="00302A33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355469"/>
      <w:docPartObj>
        <w:docPartGallery w:val="Page Numbers (Bottom of Page)"/>
        <w:docPartUnique/>
      </w:docPartObj>
    </w:sdtPr>
    <w:sdtEndPr/>
    <w:sdtContent>
      <w:p w:rsidR="00302A33" w:rsidRDefault="00302A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6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02A33" w:rsidRDefault="00302A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E0" w:rsidRDefault="00193DE0" w:rsidP="00AD0E4E">
      <w:r>
        <w:separator/>
      </w:r>
    </w:p>
  </w:footnote>
  <w:footnote w:type="continuationSeparator" w:id="0">
    <w:p w:rsidR="00193DE0" w:rsidRDefault="00193DE0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37C97"/>
    <w:rsid w:val="0017311E"/>
    <w:rsid w:val="0019367E"/>
    <w:rsid w:val="00193DE0"/>
    <w:rsid w:val="00195FAE"/>
    <w:rsid w:val="00196533"/>
    <w:rsid w:val="001A2331"/>
    <w:rsid w:val="001A4A06"/>
    <w:rsid w:val="001B32A5"/>
    <w:rsid w:val="001B51E1"/>
    <w:rsid w:val="001D5419"/>
    <w:rsid w:val="0022790E"/>
    <w:rsid w:val="00246D38"/>
    <w:rsid w:val="0025411D"/>
    <w:rsid w:val="00257DB9"/>
    <w:rsid w:val="00284BD4"/>
    <w:rsid w:val="0028578E"/>
    <w:rsid w:val="002A5ABD"/>
    <w:rsid w:val="002B1F55"/>
    <w:rsid w:val="002E2A00"/>
    <w:rsid w:val="002E6922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767F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71EDE"/>
    <w:rsid w:val="00473EFA"/>
    <w:rsid w:val="00477D18"/>
    <w:rsid w:val="004816DB"/>
    <w:rsid w:val="00481C77"/>
    <w:rsid w:val="004A14E2"/>
    <w:rsid w:val="004D1E6C"/>
    <w:rsid w:val="004D79C4"/>
    <w:rsid w:val="004F563C"/>
    <w:rsid w:val="004F6A01"/>
    <w:rsid w:val="00507AC4"/>
    <w:rsid w:val="00513C62"/>
    <w:rsid w:val="005153CD"/>
    <w:rsid w:val="0051598E"/>
    <w:rsid w:val="00525DC9"/>
    <w:rsid w:val="005266E4"/>
    <w:rsid w:val="00532A76"/>
    <w:rsid w:val="005502CD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304A7"/>
    <w:rsid w:val="00642BBF"/>
    <w:rsid w:val="006460C1"/>
    <w:rsid w:val="00653CE3"/>
    <w:rsid w:val="006624EA"/>
    <w:rsid w:val="006665ED"/>
    <w:rsid w:val="00667E60"/>
    <w:rsid w:val="006716EA"/>
    <w:rsid w:val="006748DE"/>
    <w:rsid w:val="006826DF"/>
    <w:rsid w:val="0069473F"/>
    <w:rsid w:val="006A3934"/>
    <w:rsid w:val="006C52B5"/>
    <w:rsid w:val="006D185E"/>
    <w:rsid w:val="006D29A1"/>
    <w:rsid w:val="006D338F"/>
    <w:rsid w:val="006E3591"/>
    <w:rsid w:val="00700900"/>
    <w:rsid w:val="007043D4"/>
    <w:rsid w:val="0070767C"/>
    <w:rsid w:val="00720E85"/>
    <w:rsid w:val="00733F40"/>
    <w:rsid w:val="007513D2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30499"/>
    <w:rsid w:val="008902CB"/>
    <w:rsid w:val="008A01EB"/>
    <w:rsid w:val="008A26DA"/>
    <w:rsid w:val="008A705C"/>
    <w:rsid w:val="008B73C0"/>
    <w:rsid w:val="008D2813"/>
    <w:rsid w:val="008E34C1"/>
    <w:rsid w:val="00924D5E"/>
    <w:rsid w:val="00930F15"/>
    <w:rsid w:val="009450F4"/>
    <w:rsid w:val="00950A57"/>
    <w:rsid w:val="00956653"/>
    <w:rsid w:val="00957865"/>
    <w:rsid w:val="009743F4"/>
    <w:rsid w:val="00986236"/>
    <w:rsid w:val="0098740F"/>
    <w:rsid w:val="009923CB"/>
    <w:rsid w:val="009D664A"/>
    <w:rsid w:val="009E2067"/>
    <w:rsid w:val="009F100A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A21"/>
    <w:rsid w:val="00B22C25"/>
    <w:rsid w:val="00B34C9E"/>
    <w:rsid w:val="00B377B1"/>
    <w:rsid w:val="00B47975"/>
    <w:rsid w:val="00B509ED"/>
    <w:rsid w:val="00B562E6"/>
    <w:rsid w:val="00B67283"/>
    <w:rsid w:val="00B95BBB"/>
    <w:rsid w:val="00BB6F5F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C2A4F"/>
    <w:rsid w:val="00DC312F"/>
    <w:rsid w:val="00E2211C"/>
    <w:rsid w:val="00E221F5"/>
    <w:rsid w:val="00E43E93"/>
    <w:rsid w:val="00E62548"/>
    <w:rsid w:val="00EB49C3"/>
    <w:rsid w:val="00EC58D9"/>
    <w:rsid w:val="00EE3323"/>
    <w:rsid w:val="00EE430F"/>
    <w:rsid w:val="00EE503A"/>
    <w:rsid w:val="00EF3787"/>
    <w:rsid w:val="00EF3C44"/>
    <w:rsid w:val="00F13982"/>
    <w:rsid w:val="00F17C92"/>
    <w:rsid w:val="00F2026B"/>
    <w:rsid w:val="00F31429"/>
    <w:rsid w:val="00F544DD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C0769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088178F-440A-4BD8-842F-9D1F4CF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9FC3D03DC7CABB58E6989018B2C80EC0C7FB0732A85C8288611F074J0F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126A-096B-40CF-9EE6-A4F8868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30</Pages>
  <Words>7875</Words>
  <Characters>44892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 Windows</cp:lastModifiedBy>
  <cp:revision>89</cp:revision>
  <cp:lastPrinted>2022-10-12T08:22:00Z</cp:lastPrinted>
  <dcterms:created xsi:type="dcterms:W3CDTF">2019-07-22T02:18:00Z</dcterms:created>
  <dcterms:modified xsi:type="dcterms:W3CDTF">2022-10-17T09:43:00Z</dcterms:modified>
</cp:coreProperties>
</file>